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1DAA" w14:textId="77777777" w:rsidR="000F5E5C" w:rsidRDefault="00801770">
      <w:pPr>
        <w:spacing w:after="299" w:line="259" w:lineRule="auto"/>
        <w:ind w:left="0" w:right="10" w:firstLine="0"/>
        <w:jc w:val="center"/>
      </w:pPr>
      <w:r>
        <w:rPr>
          <w:b/>
          <w:sz w:val="28"/>
        </w:rPr>
        <w:t xml:space="preserve">Требования к оформлению тезисов доклада  </w:t>
      </w:r>
    </w:p>
    <w:p w14:paraId="3ECEBA21" w14:textId="36FA7F82" w:rsidR="000F5E5C" w:rsidRDefault="00801770">
      <w:pPr>
        <w:spacing w:after="0" w:line="269" w:lineRule="auto"/>
        <w:ind w:right="5"/>
        <w:jc w:val="center"/>
      </w:pPr>
      <w:r>
        <w:rPr>
          <w:sz w:val="28"/>
        </w:rPr>
        <w:t>для включения в «Сборник тезисов докладов</w:t>
      </w:r>
      <w:r w:rsidRPr="00801770">
        <w:rPr>
          <w:sz w:val="28"/>
        </w:rPr>
        <w:t xml:space="preserve"> </w:t>
      </w:r>
      <w:r>
        <w:rPr>
          <w:sz w:val="28"/>
        </w:rPr>
        <w:t>V</w:t>
      </w:r>
      <w:r>
        <w:rPr>
          <w:sz w:val="28"/>
          <w:lang w:val="en-US"/>
        </w:rPr>
        <w:t>I</w:t>
      </w:r>
      <w:r>
        <w:rPr>
          <w:sz w:val="28"/>
        </w:rPr>
        <w:t xml:space="preserve"> научно-практической </w:t>
      </w:r>
    </w:p>
    <w:p w14:paraId="1BC766BF" w14:textId="0BC85BE6" w:rsidR="000F5E5C" w:rsidRDefault="00801770">
      <w:pPr>
        <w:spacing w:after="242" w:line="269" w:lineRule="auto"/>
        <w:jc w:val="center"/>
      </w:pPr>
      <w:r>
        <w:rPr>
          <w:sz w:val="28"/>
        </w:rPr>
        <w:t>конференции «Релейная защита и автоматизация электроэнергетических систем России» в рамках Форума «РЕЛАВЭКСПО-20</w:t>
      </w:r>
      <w:r w:rsidRPr="00801770">
        <w:rPr>
          <w:sz w:val="28"/>
        </w:rPr>
        <w:t>2</w:t>
      </w:r>
      <w:r>
        <w:rPr>
          <w:sz w:val="28"/>
          <w:lang w:val="en-US"/>
        </w:rPr>
        <w:t>1</w:t>
      </w:r>
      <w:r>
        <w:rPr>
          <w:sz w:val="28"/>
        </w:rPr>
        <w:t xml:space="preserve">» </w:t>
      </w:r>
    </w:p>
    <w:p w14:paraId="4BBD704C" w14:textId="77777777" w:rsidR="000F5E5C" w:rsidRDefault="00801770">
      <w:pPr>
        <w:ind w:left="-5"/>
      </w:pPr>
      <w:r>
        <w:t xml:space="preserve">В программный комитет принимаются тексты, подготовленные в формате Microsoft Word. </w:t>
      </w:r>
    </w:p>
    <w:tbl>
      <w:tblPr>
        <w:tblStyle w:val="TableGrid"/>
        <w:tblW w:w="9431" w:type="dxa"/>
        <w:tblInd w:w="-37" w:type="dxa"/>
        <w:tblCellMar>
          <w:top w:w="42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85"/>
      </w:tblGrid>
      <w:tr w:rsidR="000F5E5C" w14:paraId="1E1C51B0" w14:textId="77777777">
        <w:trPr>
          <w:trHeight w:val="356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89F551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Формат листа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94F8DE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A4 </w:t>
            </w:r>
          </w:p>
        </w:tc>
      </w:tr>
      <w:tr w:rsidR="000F5E5C" w14:paraId="4615816D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769C49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Поля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568412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>верхнее и нижнее - 2 см, левое</w:t>
            </w:r>
            <w:r>
              <w:t xml:space="preserve"> - 3 см, правое - 1,5 см </w:t>
            </w:r>
          </w:p>
        </w:tc>
      </w:tr>
      <w:tr w:rsidR="000F5E5C" w14:paraId="0B03E856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13191A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Тип шрифта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B6C080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Times New Roman </w:t>
            </w:r>
          </w:p>
        </w:tc>
      </w:tr>
      <w:tr w:rsidR="000F5E5C" w14:paraId="124FB7AA" w14:textId="77777777">
        <w:trPr>
          <w:trHeight w:val="634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F4EC35" w14:textId="77777777" w:rsidR="000F5E5C" w:rsidRDefault="0080177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Размер шрифта основного текста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16733C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12 пунктов </w:t>
            </w:r>
          </w:p>
        </w:tc>
      </w:tr>
      <w:tr w:rsidR="000F5E5C" w14:paraId="17945083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45B9B2" w14:textId="77777777" w:rsidR="000F5E5C" w:rsidRDefault="0080177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Межстрочный интервал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F19955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одинарный </w:t>
            </w:r>
          </w:p>
        </w:tc>
      </w:tr>
      <w:tr w:rsidR="000F5E5C" w14:paraId="0A3FA9C1" w14:textId="77777777">
        <w:trPr>
          <w:trHeight w:val="356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E16405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Выравнивание текста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6D0A8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по ширине </w:t>
            </w:r>
          </w:p>
        </w:tc>
      </w:tr>
      <w:tr w:rsidR="000F5E5C" w14:paraId="327BC2F2" w14:textId="77777777">
        <w:trPr>
          <w:trHeight w:val="634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601A2B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Автоматическая расстановка переносов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D8C148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включена </w:t>
            </w:r>
          </w:p>
        </w:tc>
      </w:tr>
      <w:tr w:rsidR="000F5E5C" w14:paraId="55B9577A" w14:textId="77777777">
        <w:trPr>
          <w:trHeight w:val="63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F284F2" w14:textId="77777777" w:rsidR="000F5E5C" w:rsidRDefault="00801770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Абзацный отступ </w:t>
            </w:r>
          </w:p>
          <w:p w14:paraId="02E31940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(красная строка)</w:t>
            </w:r>
            <w:r>
              <w:t xml:space="preserve">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4C5DDA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1,25 см </w:t>
            </w:r>
          </w:p>
        </w:tc>
      </w:tr>
      <w:tr w:rsidR="000F5E5C" w14:paraId="632E3FC2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5DC7A6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Нумерация страниц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C10D76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ведется </w:t>
            </w:r>
          </w:p>
        </w:tc>
      </w:tr>
      <w:tr w:rsidR="000F5E5C" w14:paraId="37D8C6DE" w14:textId="77777777">
        <w:trPr>
          <w:trHeight w:val="910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50D1CB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Рисунки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8D03D5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внедрены в текст и также предоставляются отдельными файлами чертежи (.pdf, ai eps), фото (.jpg (300 dpi), tiff ), PrintScreen (.bmp, .jpg (с max качеством) </w:t>
            </w:r>
          </w:p>
        </w:tc>
      </w:tr>
      <w:tr w:rsidR="000F5E5C" w14:paraId="047769EB" w14:textId="77777777">
        <w:trPr>
          <w:trHeight w:val="63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51F543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Ссылки на литературу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3AD12C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 квадратных скобках [1], библиографический список в конце текста </w:t>
            </w:r>
          </w:p>
        </w:tc>
      </w:tr>
      <w:tr w:rsidR="000F5E5C" w14:paraId="311E3084" w14:textId="77777777">
        <w:trPr>
          <w:trHeight w:val="146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270342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Объем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B4DF3C" w14:textId="77777777" w:rsidR="000F5E5C" w:rsidRDefault="00801770">
            <w:pPr>
              <w:spacing w:after="0" w:line="277" w:lineRule="auto"/>
              <w:ind w:left="2" w:firstLine="0"/>
              <w:jc w:val="left"/>
            </w:pPr>
            <w:r>
              <w:t xml:space="preserve">минимальный  - 2 стр. (не более 4000 знаков  с пробелами, без рисунка); </w:t>
            </w:r>
          </w:p>
          <w:p w14:paraId="10E4B5C6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максимальный   - 3 стр. (не более 6 000 знаков с пробелами,  </w:t>
            </w:r>
            <w:r>
              <w:t xml:space="preserve">один рисунок размером 175 мм х 90 мм или два рисунка размером 85 мм х 85 мм). </w:t>
            </w:r>
          </w:p>
        </w:tc>
      </w:tr>
    </w:tbl>
    <w:p w14:paraId="6E380BA5" w14:textId="77777777" w:rsidR="000F5E5C" w:rsidRDefault="00801770">
      <w:pPr>
        <w:spacing w:after="31" w:line="259" w:lineRule="auto"/>
        <w:ind w:left="0" w:firstLine="0"/>
        <w:jc w:val="left"/>
      </w:pPr>
      <w:r>
        <w:t xml:space="preserve"> </w:t>
      </w:r>
    </w:p>
    <w:p w14:paraId="7723B505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Материал излагаются в следующем порядке: </w:t>
      </w:r>
    </w:p>
    <w:p w14:paraId="2FE4793A" w14:textId="77777777" w:rsidR="000F5E5C" w:rsidRDefault="00801770">
      <w:pPr>
        <w:spacing w:after="30"/>
        <w:ind w:left="-5"/>
      </w:pPr>
      <w:r>
        <w:t xml:space="preserve">Название доклада. </w:t>
      </w:r>
    </w:p>
    <w:p w14:paraId="6B0B7C03" w14:textId="77777777" w:rsidR="000F5E5C" w:rsidRDefault="00801770">
      <w:pPr>
        <w:spacing w:after="32"/>
        <w:ind w:left="-5"/>
      </w:pPr>
      <w:r>
        <w:t xml:space="preserve">Авторы. </w:t>
      </w:r>
    </w:p>
    <w:p w14:paraId="32A1660B" w14:textId="77777777" w:rsidR="000F5E5C" w:rsidRDefault="00801770">
      <w:pPr>
        <w:spacing w:after="32"/>
        <w:ind w:left="-5"/>
      </w:pPr>
      <w:r>
        <w:t xml:space="preserve">Страна, город. </w:t>
      </w:r>
    </w:p>
    <w:p w14:paraId="74D47DA6" w14:textId="77777777" w:rsidR="000F5E5C" w:rsidRDefault="00801770">
      <w:pPr>
        <w:spacing w:after="32"/>
        <w:ind w:left="-5"/>
      </w:pPr>
      <w:r>
        <w:t xml:space="preserve">Название организации. </w:t>
      </w:r>
    </w:p>
    <w:p w14:paraId="16E5385A" w14:textId="77777777" w:rsidR="000F5E5C" w:rsidRDefault="00801770">
      <w:pPr>
        <w:spacing w:after="30"/>
        <w:ind w:left="-5"/>
      </w:pPr>
      <w:r>
        <w:t xml:space="preserve">Электронный адрес. </w:t>
      </w:r>
    </w:p>
    <w:p w14:paraId="72AF8FA9" w14:textId="77777777" w:rsidR="000F5E5C" w:rsidRDefault="00801770">
      <w:pPr>
        <w:spacing w:after="33"/>
        <w:ind w:left="-5"/>
      </w:pPr>
      <w:r>
        <w:t xml:space="preserve">Ключевые слова. </w:t>
      </w:r>
    </w:p>
    <w:p w14:paraId="542744B9" w14:textId="77777777" w:rsidR="000F5E5C" w:rsidRDefault="00801770">
      <w:pPr>
        <w:spacing w:after="34"/>
        <w:ind w:left="-5"/>
      </w:pPr>
      <w:r>
        <w:t xml:space="preserve">Введение (формулировка задачи). </w:t>
      </w:r>
    </w:p>
    <w:p w14:paraId="018450A4" w14:textId="77777777" w:rsidR="000F5E5C" w:rsidRDefault="00801770">
      <w:pPr>
        <w:spacing w:after="29"/>
        <w:ind w:left="-5" w:right="1534"/>
      </w:pPr>
      <w:r>
        <w:t xml:space="preserve">Основное содержание (описание решения задачи, реализации). Заключение. </w:t>
      </w:r>
    </w:p>
    <w:p w14:paraId="4C16587A" w14:textId="77777777" w:rsidR="000F5E5C" w:rsidRDefault="00801770">
      <w:pPr>
        <w:spacing w:after="324"/>
        <w:ind w:left="-5"/>
      </w:pPr>
      <w:r>
        <w:t>Литература</w:t>
      </w:r>
      <w:r>
        <w:rPr>
          <w:b/>
        </w:rPr>
        <w:t xml:space="preserve"> </w:t>
      </w:r>
    </w:p>
    <w:p w14:paraId="104D234E" w14:textId="77777777" w:rsidR="000F5E5C" w:rsidRDefault="00801770">
      <w:pPr>
        <w:pStyle w:val="1"/>
        <w:spacing w:after="252"/>
        <w:ind w:left="-5"/>
      </w:pPr>
      <w:r>
        <w:lastRenderedPageBreak/>
        <w:t xml:space="preserve">Сведения об авторах </w:t>
      </w:r>
    </w:p>
    <w:p w14:paraId="7A502440" w14:textId="77777777" w:rsidR="000F5E5C" w:rsidRDefault="00801770">
      <w:pPr>
        <w:ind w:left="-5"/>
      </w:pPr>
      <w:r>
        <w:t xml:space="preserve">Дополнительно к тексту тезисов доклада необходимо прислать файл с информацией об авторах: </w:t>
      </w:r>
    </w:p>
    <w:p w14:paraId="6F8B9EF0" w14:textId="77777777" w:rsidR="000F5E5C" w:rsidRDefault="00801770">
      <w:pPr>
        <w:numPr>
          <w:ilvl w:val="0"/>
          <w:numId w:val="1"/>
        </w:numPr>
        <w:ind w:hanging="578"/>
      </w:pPr>
      <w:r>
        <w:t xml:space="preserve">Фамилия, имя и отчество автора (полностью). </w:t>
      </w:r>
    </w:p>
    <w:p w14:paraId="5A5D4869" w14:textId="77777777" w:rsidR="000F5E5C" w:rsidRDefault="00801770">
      <w:pPr>
        <w:numPr>
          <w:ilvl w:val="0"/>
          <w:numId w:val="1"/>
        </w:numPr>
        <w:ind w:hanging="578"/>
      </w:pPr>
      <w:r>
        <w:t xml:space="preserve">Ученая степень, звание. </w:t>
      </w:r>
    </w:p>
    <w:p w14:paraId="47AFBB49" w14:textId="77777777" w:rsidR="000F5E5C" w:rsidRDefault="00801770">
      <w:pPr>
        <w:numPr>
          <w:ilvl w:val="0"/>
          <w:numId w:val="1"/>
        </w:numPr>
        <w:ind w:hanging="578"/>
      </w:pPr>
      <w:r>
        <w:t xml:space="preserve">Должность.  </w:t>
      </w:r>
    </w:p>
    <w:p w14:paraId="3BB0C2E0" w14:textId="77777777" w:rsidR="000F5E5C" w:rsidRDefault="00801770">
      <w:pPr>
        <w:numPr>
          <w:ilvl w:val="0"/>
          <w:numId w:val="1"/>
        </w:numPr>
        <w:ind w:hanging="578"/>
      </w:pPr>
      <w:r>
        <w:t xml:space="preserve">Место работы или учебы. </w:t>
      </w:r>
    </w:p>
    <w:p w14:paraId="0730DFAC" w14:textId="77777777" w:rsidR="000F5E5C" w:rsidRDefault="00801770">
      <w:pPr>
        <w:numPr>
          <w:ilvl w:val="0"/>
          <w:numId w:val="1"/>
        </w:numPr>
        <w:ind w:hanging="578"/>
      </w:pPr>
      <w:r>
        <w:t xml:space="preserve">Адрес электронной почты. </w:t>
      </w:r>
    </w:p>
    <w:p w14:paraId="79018A38" w14:textId="77777777" w:rsidR="000F5E5C" w:rsidRDefault="00801770">
      <w:pPr>
        <w:numPr>
          <w:ilvl w:val="0"/>
          <w:numId w:val="1"/>
        </w:numPr>
        <w:ind w:hanging="578"/>
      </w:pPr>
      <w:r>
        <w:t xml:space="preserve">Почтовый адрес (не забудьте почтовый индекс!). </w:t>
      </w:r>
    </w:p>
    <w:p w14:paraId="4B208426" w14:textId="77777777" w:rsidR="000F5E5C" w:rsidRDefault="00801770">
      <w:pPr>
        <w:numPr>
          <w:ilvl w:val="0"/>
          <w:numId w:val="1"/>
        </w:numPr>
        <w:spacing w:after="144"/>
        <w:ind w:hanging="578"/>
      </w:pPr>
      <w:r>
        <w:t xml:space="preserve">Какой приоритетной теме соответствует доклад. </w:t>
      </w:r>
    </w:p>
    <w:p w14:paraId="397A7EBF" w14:textId="77777777" w:rsidR="000F5E5C" w:rsidRDefault="00801770">
      <w:pPr>
        <w:spacing w:after="29" w:line="259" w:lineRule="auto"/>
        <w:ind w:left="0" w:firstLine="0"/>
        <w:jc w:val="left"/>
      </w:pPr>
      <w:r>
        <w:t xml:space="preserve"> </w:t>
      </w:r>
    </w:p>
    <w:p w14:paraId="2B5D302B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Пример оформления: </w:t>
      </w:r>
    </w:p>
    <w:p w14:paraId="310D9FBD" w14:textId="77777777" w:rsidR="000F5E5C" w:rsidRDefault="00801770">
      <w:pPr>
        <w:spacing w:after="34" w:line="259" w:lineRule="auto"/>
        <w:ind w:left="0" w:firstLine="0"/>
        <w:jc w:val="left"/>
      </w:pPr>
      <w:r>
        <w:t xml:space="preserve"> </w:t>
      </w:r>
    </w:p>
    <w:p w14:paraId="72B5DF63" w14:textId="77777777" w:rsidR="000F5E5C" w:rsidRDefault="00801770">
      <w:pPr>
        <w:spacing w:after="65" w:line="259" w:lineRule="auto"/>
        <w:ind w:left="0" w:right="7" w:firstLine="0"/>
        <w:jc w:val="center"/>
      </w:pPr>
      <w:r>
        <w:rPr>
          <w:b/>
        </w:rPr>
        <w:t xml:space="preserve">УПРЕЖДАЮЩИЕ ФУНКЦИИ РЕЛЕЙНОЙ ЗАЩИТЫ </w:t>
      </w:r>
    </w:p>
    <w:p w14:paraId="4647CEFA" w14:textId="77777777" w:rsidR="000F5E5C" w:rsidRDefault="00801770">
      <w:pPr>
        <w:spacing w:after="37" w:line="274" w:lineRule="auto"/>
        <w:ind w:left="3209" w:right="3142"/>
        <w:jc w:val="center"/>
      </w:pPr>
      <w:r>
        <w:rPr>
          <w:b/>
        </w:rPr>
        <w:t xml:space="preserve">д.т.н. А.В. БУЛЫЧЕВ </w:t>
      </w:r>
      <w:r>
        <w:t xml:space="preserve">Россия, г. Чебоксары, </w:t>
      </w:r>
    </w:p>
    <w:p w14:paraId="4BDC29F5" w14:textId="77777777" w:rsidR="000F5E5C" w:rsidRDefault="00801770">
      <w:pPr>
        <w:spacing w:after="0" w:line="274" w:lineRule="auto"/>
        <w:ind w:left="3209" w:right="3145"/>
        <w:jc w:val="center"/>
      </w:pPr>
      <w:r>
        <w:t xml:space="preserve">ООО «НПП Бреслер», e-mail: </w:t>
      </w:r>
      <w:r>
        <w:rPr>
          <w:u w:val="single" w:color="000000"/>
        </w:rPr>
        <w:t>info@bresler.ru</w:t>
      </w:r>
      <w:r>
        <w:t xml:space="preserve"> </w:t>
      </w:r>
    </w:p>
    <w:p w14:paraId="58426D60" w14:textId="77777777" w:rsidR="000F5E5C" w:rsidRDefault="00801770">
      <w:pPr>
        <w:spacing w:after="64" w:line="259" w:lineRule="auto"/>
        <w:ind w:left="0" w:firstLine="0"/>
        <w:jc w:val="left"/>
      </w:pPr>
      <w:r>
        <w:t xml:space="preserve"> </w:t>
      </w:r>
    </w:p>
    <w:p w14:paraId="076ADFC2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       КЛЮЧЕВЫЕ СЛОВА </w:t>
      </w:r>
    </w:p>
    <w:p w14:paraId="2A16CDD3" w14:textId="77777777" w:rsidR="000F5E5C" w:rsidRDefault="00801770">
      <w:pPr>
        <w:spacing w:after="23" w:line="259" w:lineRule="auto"/>
        <w:ind w:left="0" w:firstLine="0"/>
        <w:jc w:val="left"/>
      </w:pPr>
      <w:r>
        <w:t xml:space="preserve"> </w:t>
      </w:r>
    </w:p>
    <w:p w14:paraId="47E2E1E8" w14:textId="77777777" w:rsidR="000F5E5C" w:rsidRDefault="00801770">
      <w:pPr>
        <w:ind w:left="718"/>
      </w:pPr>
      <w:r>
        <w:t xml:space="preserve">Релейная защита, повреждения, прогнозирование, упреждение. </w:t>
      </w:r>
    </w:p>
    <w:p w14:paraId="66015B58" w14:textId="77777777" w:rsidR="000F5E5C" w:rsidRDefault="0080177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5D1A258B" w14:textId="77777777" w:rsidR="000F5E5C" w:rsidRDefault="00801770">
      <w:pPr>
        <w:pStyle w:val="1"/>
        <w:ind w:left="-5"/>
      </w:pPr>
      <w:r>
        <w:t xml:space="preserve">ВВЕДЕНИЕ </w:t>
      </w:r>
    </w:p>
    <w:p w14:paraId="4F1F38E3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7BD62BD0" w14:textId="77777777" w:rsidR="000F5E5C" w:rsidRDefault="00801770">
      <w:pPr>
        <w:ind w:left="-15" w:firstLine="720"/>
      </w:pPr>
      <w:r>
        <w:t>Классическим методам защиты свойственна запаздывающая реакция на возникшее повреждение, обусловленная конечным временем измерения и оценивания параметров [1]</w:t>
      </w:r>
      <w:r>
        <w:t>. Это приводит к необходимости выполнения экстренных операций по локализации повреждений, что неизбежно создает нежелательные возмущения для энергосистемы. К тому же провести детальную диагностику повреждения, как правило, при этом невозможно из-за дефицит</w:t>
      </w:r>
      <w:r>
        <w:t xml:space="preserve">а времени. </w:t>
      </w:r>
    </w:p>
    <w:p w14:paraId="625BB21D" w14:textId="77777777" w:rsidR="000F5E5C" w:rsidRDefault="0080177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2CCDD92" w14:textId="77777777" w:rsidR="000F5E5C" w:rsidRDefault="00801770">
      <w:pPr>
        <w:pStyle w:val="1"/>
        <w:ind w:left="-5"/>
      </w:pPr>
      <w:r>
        <w:t xml:space="preserve">РЕАЛИЗАЦИЯ УПРЕЖДАЮЩИХ ФУНКЦИЙ РЕЛЕЙНОЙ ЗАЩИТЫ </w:t>
      </w:r>
    </w:p>
    <w:p w14:paraId="385D1E7A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676712A6" w14:textId="77777777" w:rsidR="000F5E5C" w:rsidRDefault="00801770">
      <w:pPr>
        <w:ind w:left="-15" w:firstLine="720"/>
      </w:pPr>
      <w:r>
        <w:t xml:space="preserve">Экстраполирование и прогнозирование явлений в контролируемых объектах, мониторинг их эволюции и раннее (предаварийное) обнаружение потенциальных повреждений объекта позволяют сформировать предупреждение о приближении возможной аварии [2,3]. В дополнение к </w:t>
      </w:r>
      <w:r>
        <w:t xml:space="preserve">симптомам, которые оцениваются количественно,  иногда можно сформировать и эвристические, использующие качественную информацию от персонала, наблюдающего за контролируемым объектом. Это служит основой упреждающих функций релейной защиты. </w:t>
      </w:r>
    </w:p>
    <w:p w14:paraId="78434C75" w14:textId="77777777" w:rsidR="000F5E5C" w:rsidRDefault="00801770">
      <w:pPr>
        <w:ind w:left="-15" w:firstLine="720"/>
      </w:pPr>
      <w:r>
        <w:t xml:space="preserve">В соответствии с </w:t>
      </w:r>
      <w:r>
        <w:t xml:space="preserve">целевой установкой, результативность (эффективность) действия релейной защиты (РЗ) характеризуется ее способностью выявлять поврежденные элементы и производить переконфигурирование электроэнергетической системы в аварийных </w:t>
      </w:r>
      <w:r>
        <w:lastRenderedPageBreak/>
        <w:t>ситуациях для сохранения достойно</w:t>
      </w:r>
      <w:r>
        <w:t xml:space="preserve">го (в смысле категории надежности электроснабжения) качества электроснабжения исправных электроприемников. </w:t>
      </w:r>
    </w:p>
    <w:p w14:paraId="48D922C2" w14:textId="77777777" w:rsidR="000F5E5C" w:rsidRDefault="00801770">
      <w:pPr>
        <w:ind w:left="-15" w:firstLine="720"/>
      </w:pPr>
      <w:r>
        <w:t>Контролируемый устройством релейной защиты объект остается в работе до тех пор, пока его параметры находятся в пределах установленных допусков. В сл</w:t>
      </w:r>
      <w:r>
        <w:t xml:space="preserve">учае выхода одного или нескольких контролируемых параметров за пределы допусков объект выводится из работы, и принимаются меры для восстановления его рабочего состояния </w:t>
      </w:r>
    </w:p>
    <w:p w14:paraId="4D1748DD" w14:textId="77777777" w:rsidR="000F5E5C" w:rsidRDefault="00801770">
      <w:pPr>
        <w:ind w:left="-5"/>
      </w:pPr>
      <w:r>
        <w:t xml:space="preserve">[1]. </w:t>
      </w:r>
    </w:p>
    <w:p w14:paraId="11531EB4" w14:textId="77777777" w:rsidR="000F5E5C" w:rsidRDefault="00801770">
      <w:pPr>
        <w:ind w:left="-15" w:firstLine="720"/>
      </w:pPr>
      <w:r>
        <w:t>Не все необходимые для РЗ параметры объекта доступны для измерения. Поэтому поми</w:t>
      </w:r>
      <w:r>
        <w:t xml:space="preserve">мо использования результатов измерения входных воздействующих величин общие алгоритмы контроля основываются также на косвенном оценивании необходимых ненаблюдаемых параметров. </w:t>
      </w:r>
    </w:p>
    <w:p w14:paraId="3CCD9FC1" w14:textId="77777777" w:rsidR="000F5E5C" w:rsidRDefault="00801770">
      <w:pPr>
        <w:ind w:left="-15" w:firstLine="720"/>
      </w:pPr>
      <w:r>
        <w:t>Непрерывный контроль с экстраполяцией и оцениванием параметров для будущего сос</w:t>
      </w:r>
      <w:r>
        <w:t xml:space="preserve">тояния позволяет реализовать упреждающую защиту объекта, которая обеспечивает раннее (предаварийное) обнаружение потенциальных повреждений (развивающихся дефектов) объекта, и прогнозирование их эволюции. </w:t>
      </w:r>
    </w:p>
    <w:p w14:paraId="37768A14" w14:textId="77777777" w:rsidR="000F5E5C" w:rsidRDefault="00801770">
      <w:pPr>
        <w:ind w:left="-15" w:firstLine="720"/>
      </w:pPr>
      <w:r>
        <w:t>Цель раннего обнаружения дефектов состоит в том, чт</w:t>
      </w:r>
      <w:r>
        <w:t>обы выиграть достаточный запас времени для детальной диагностики и выработки упреждающих мер, не требующих применения внезапных воздействий на объект. При этом не создается аварийная ситуация и локализация потенциального повреждения не сопровождается внеза</w:t>
      </w:r>
      <w:r>
        <w:t xml:space="preserve">пными возмущениями энергосистемы. Формально время срабатывания защиты с упреждающими функциями, если отсчет начинать от момента возникновения повреждения,  можно считать отрицательным. </w:t>
      </w:r>
    </w:p>
    <w:p w14:paraId="599BE85F" w14:textId="77777777" w:rsidR="000F5E5C" w:rsidRDefault="0080177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4D2E6CD0" w14:textId="77777777" w:rsidR="000F5E5C" w:rsidRDefault="00801770">
      <w:pPr>
        <w:pStyle w:val="1"/>
        <w:ind w:left="-5"/>
      </w:pPr>
      <w:r>
        <w:t xml:space="preserve">ЗАКЛЮЧЕНИЕ </w:t>
      </w:r>
    </w:p>
    <w:p w14:paraId="09113B69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7520E86F" w14:textId="77777777" w:rsidR="000F5E5C" w:rsidRDefault="00801770">
      <w:pPr>
        <w:ind w:left="-15" w:firstLine="720"/>
      </w:pPr>
      <w:r>
        <w:t>Концепция создания средств РЗ, обладающих упреждающими</w:t>
      </w:r>
      <w:r>
        <w:t xml:space="preserve"> функциями, уже сегодня может быть реализована в полной мере на базе современных высокоэффективных средств обработки электрических сигналов.  </w:t>
      </w:r>
    </w:p>
    <w:p w14:paraId="0A81DA7F" w14:textId="77777777" w:rsidR="000F5E5C" w:rsidRDefault="00801770">
      <w:pPr>
        <w:ind w:left="-15" w:firstLine="720"/>
      </w:pPr>
      <w:r>
        <w:t>Благодаря новому свойству РЗ создается резерв времени в пределах интервала прогнозирования для того, чтобы вывест</w:t>
      </w:r>
      <w:r>
        <w:t>и из работы контролируемый защитой объект ЭЭС, не прибегая к экстренным отключениям. Появляется возможность обеспечить потребителей электрической энергией по резервным каналам, а при локализации потенциального повреждения избежать  внезапных возмущений ЭЭС</w:t>
      </w:r>
      <w:r>
        <w:t xml:space="preserve">. </w:t>
      </w:r>
    </w:p>
    <w:p w14:paraId="32A7EA77" w14:textId="77777777" w:rsidR="000F5E5C" w:rsidRDefault="00801770">
      <w:pPr>
        <w:spacing w:after="28" w:line="259" w:lineRule="auto"/>
        <w:ind w:left="720" w:firstLine="0"/>
        <w:jc w:val="left"/>
      </w:pPr>
      <w:r>
        <w:t xml:space="preserve"> </w:t>
      </w:r>
    </w:p>
    <w:p w14:paraId="6EDAB723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ЛИТЕРАТУРА: </w:t>
      </w:r>
    </w:p>
    <w:p w14:paraId="57B0A6BC" w14:textId="77777777" w:rsidR="000F5E5C" w:rsidRDefault="00801770">
      <w:pPr>
        <w:spacing w:after="15" w:line="259" w:lineRule="auto"/>
        <w:ind w:left="0" w:firstLine="0"/>
        <w:jc w:val="left"/>
      </w:pPr>
      <w:r>
        <w:t xml:space="preserve"> </w:t>
      </w:r>
    </w:p>
    <w:p w14:paraId="2EF95F3A" w14:textId="77777777" w:rsidR="000F5E5C" w:rsidRDefault="00801770">
      <w:pPr>
        <w:spacing w:after="32"/>
        <w:ind w:left="-5"/>
      </w:pPr>
      <w:r>
        <w:t>1. Федосеев А.М. Релейная защита электрических систем. – М.: Энергия. – 1976. – 560 с.  2. Булычев А.В., Гуляев В.А., Дежнев В.А. Способ защиты трехфазной сети с изолированной нейтралью от однофазных замыканий на землю. Патент РФ на изо</w:t>
      </w:r>
      <w:r>
        <w:t xml:space="preserve">бретение №2304832, H02H 3/16. Бюл. №23, 2007 г. </w:t>
      </w:r>
    </w:p>
    <w:p w14:paraId="2FC7013F" w14:textId="77777777" w:rsidR="000F5E5C" w:rsidRDefault="00801770">
      <w:pPr>
        <w:spacing w:after="30"/>
        <w:ind w:left="-5"/>
      </w:pPr>
      <w:r>
        <w:t xml:space="preserve">[3] Теория прогнозирования и принятия решений. Под ред. С.А. Саркисяна / </w:t>
      </w:r>
      <w:r>
        <w:t xml:space="preserve">Саркисян С.А., Каспин В.И., Лисичкин В.А., Минаев Э.С., Пасечник Г.С. – М.: Высшая школа. – </w:t>
      </w:r>
    </w:p>
    <w:p w14:paraId="0087AB2D" w14:textId="77777777" w:rsidR="000F5E5C" w:rsidRDefault="00801770">
      <w:pPr>
        <w:ind w:left="-5"/>
      </w:pPr>
      <w:r>
        <w:t xml:space="preserve">1977. –  352 с.  </w:t>
      </w:r>
    </w:p>
    <w:p w14:paraId="6FBE964A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p w14:paraId="7D9896E2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p w14:paraId="61E1472C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sectPr w:rsidR="000F5E5C">
      <w:pgSz w:w="11906" w:h="16838"/>
      <w:pgMar w:top="1182" w:right="844" w:bottom="13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83648"/>
    <w:multiLevelType w:val="hybridMultilevel"/>
    <w:tmpl w:val="2762685A"/>
    <w:lvl w:ilvl="0" w:tplc="AFCC9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3BAE77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C489CE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80851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FE6E6A5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E48082D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194E2F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6422F5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A2CAC5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5C"/>
    <w:rsid w:val="000F5E5C"/>
    <w:rsid w:val="008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6D1"/>
  <w15:docId w15:val="{4BE87B09-8F80-41BC-BBF3-C1B724A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</dc:title>
  <dc:subject/>
  <dc:creator>1</dc:creator>
  <cp:keywords/>
  <cp:lastModifiedBy>Андрей Борисов</cp:lastModifiedBy>
  <cp:revision>2</cp:revision>
  <dcterms:created xsi:type="dcterms:W3CDTF">2021-03-01T10:59:00Z</dcterms:created>
  <dcterms:modified xsi:type="dcterms:W3CDTF">2021-03-01T10:59:00Z</dcterms:modified>
</cp:coreProperties>
</file>